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B" w:rsidRDefault="003046FB" w:rsidP="003046FB">
      <w:pPr>
        <w:ind w:left="1134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 xml:space="preserve">Анализ социально-экономического развития в целом </w:t>
      </w:r>
    </w:p>
    <w:p w:rsidR="003046FB" w:rsidRPr="002542B9" w:rsidRDefault="003046FB" w:rsidP="003046FB">
      <w:pPr>
        <w:ind w:left="1134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по муниципальному образованию</w:t>
      </w:r>
      <w:r>
        <w:rPr>
          <w:b/>
          <w:lang w:eastAsia="en-US"/>
        </w:rPr>
        <w:t xml:space="preserve"> за 2018 год</w:t>
      </w:r>
    </w:p>
    <w:p w:rsidR="003046FB" w:rsidRPr="002542B9" w:rsidRDefault="003046FB" w:rsidP="003046FB">
      <w:pPr>
        <w:ind w:left="720"/>
        <w:contextualSpacing/>
        <w:jc w:val="center"/>
        <w:rPr>
          <w:b/>
          <w:lang w:eastAsia="en-US"/>
        </w:rPr>
      </w:pP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</w:r>
      <w:r w:rsidRPr="002542B9">
        <w:rPr>
          <w:lang w:eastAsia="en-US"/>
        </w:rPr>
        <w:tab/>
      </w:r>
      <w:r w:rsidRPr="002542B9">
        <w:rPr>
          <w:lang w:eastAsia="en-US"/>
        </w:rPr>
        <w:tab/>
      </w: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Промышленное производство</w:t>
      </w:r>
    </w:p>
    <w:p w:rsidR="003046FB" w:rsidRPr="002542B9" w:rsidRDefault="003046FB" w:rsidP="003046FB">
      <w:pPr>
        <w:tabs>
          <w:tab w:val="left" w:pos="709"/>
        </w:tabs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В 2018 году объём промышленного производства составил 29 224 млн. рублей и увеличился к аналогичному периоду прошлого года на 4,5%.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Объём производства: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- электрической и тепловой энергии сохранился на у</w:t>
      </w:r>
      <w:r w:rsidR="002F385A">
        <w:rPr>
          <w:lang w:eastAsia="en-US"/>
        </w:rPr>
        <w:t xml:space="preserve">ровне прошлого года и составил </w:t>
      </w:r>
      <w:r w:rsidRPr="002542B9">
        <w:rPr>
          <w:lang w:eastAsia="en-US"/>
        </w:rPr>
        <w:t>11</w:t>
      </w:r>
      <w:r w:rsidR="002F385A">
        <w:rPr>
          <w:lang w:eastAsia="en-US"/>
        </w:rPr>
        <w:t xml:space="preserve"> </w:t>
      </w:r>
      <w:r w:rsidRPr="002542B9">
        <w:rPr>
          <w:lang w:eastAsia="en-US"/>
        </w:rPr>
        <w:t>483,0 млн. рублей;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- добыча полезных ископаемых увеличилась в 12,3 раза.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Увеличился на 25,9% объём обрабатывающего производства и на 16,2% объём работ в сфере строительства.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Транспорт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 xml:space="preserve">         Объём перевозок грузов грузовыми автомобилями организаций – 201,4 тыс. тонн, что на 63,8% выше аналогичного периода 2017 года. </w:t>
      </w:r>
    </w:p>
    <w:p w:rsidR="003046FB" w:rsidRPr="002542B9" w:rsidRDefault="003046FB" w:rsidP="003046FB">
      <w:pPr>
        <w:ind w:firstLine="709"/>
        <w:contextualSpacing/>
        <w:jc w:val="both"/>
        <w:rPr>
          <w:lang w:eastAsia="en-US"/>
        </w:rPr>
      </w:pPr>
      <w:r w:rsidRPr="002542B9">
        <w:rPr>
          <w:lang w:eastAsia="en-US"/>
        </w:rPr>
        <w:t>Грузооборот грузовых автомобилей организаций составил 35 908,5 тыс. т. км</w:t>
      </w:r>
      <w:proofErr w:type="gramStart"/>
      <w:r w:rsidRPr="002542B9">
        <w:rPr>
          <w:lang w:eastAsia="en-US"/>
        </w:rPr>
        <w:t xml:space="preserve">., </w:t>
      </w:r>
      <w:proofErr w:type="gramEnd"/>
      <w:r w:rsidRPr="002542B9">
        <w:rPr>
          <w:lang w:eastAsia="en-US"/>
        </w:rPr>
        <w:t>что выше аналогичного периода 2017 года в 4,4 раза.</w:t>
      </w:r>
    </w:p>
    <w:p w:rsidR="003046FB" w:rsidRPr="002542B9" w:rsidRDefault="003046FB" w:rsidP="003046FB">
      <w:pPr>
        <w:ind w:firstLine="709"/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Рыболовство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Объем отгруженных товаров по виду экономической деятельности «Рыболовство, рыбоводство» составляет 4</w:t>
      </w:r>
      <w:r w:rsidR="002F385A">
        <w:rPr>
          <w:lang w:eastAsia="en-US"/>
        </w:rPr>
        <w:t xml:space="preserve"> </w:t>
      </w:r>
      <w:r w:rsidRPr="002542B9">
        <w:rPr>
          <w:lang w:eastAsia="en-US"/>
        </w:rPr>
        <w:t>927,1 млн. руб., что ниже аналогичного периода прошлого года на 12,5 %.</w:t>
      </w:r>
      <w:r w:rsidRPr="002542B9">
        <w:rPr>
          <w:lang w:eastAsia="en-US"/>
        </w:rPr>
        <w:tab/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Сельское хозяйство</w:t>
      </w:r>
    </w:p>
    <w:p w:rsidR="003046FB" w:rsidRPr="002542B9" w:rsidRDefault="003046FB" w:rsidP="003046FB">
      <w:pPr>
        <w:spacing w:after="200" w:line="276" w:lineRule="auto"/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По итогам 2018 года состояние сельского хозяйства Кольского района                 характеризуется увеличением производства:</w:t>
      </w:r>
    </w:p>
    <w:p w:rsidR="003046FB" w:rsidRPr="002542B9" w:rsidRDefault="003046FB" w:rsidP="003046FB">
      <w:pPr>
        <w:spacing w:after="200" w:line="276" w:lineRule="auto"/>
        <w:ind w:left="720"/>
        <w:contextualSpacing/>
        <w:rPr>
          <w:lang w:eastAsia="en-US"/>
        </w:rPr>
      </w:pPr>
      <w:r w:rsidRPr="002542B9">
        <w:rPr>
          <w:lang w:eastAsia="en-US"/>
        </w:rPr>
        <w:t>- мяса крупного рогатого скота на 9,8%;</w:t>
      </w:r>
    </w:p>
    <w:p w:rsidR="003046FB" w:rsidRPr="002542B9" w:rsidRDefault="003046FB" w:rsidP="003046FB">
      <w:pPr>
        <w:spacing w:after="200" w:line="276" w:lineRule="auto"/>
        <w:ind w:left="720"/>
        <w:contextualSpacing/>
        <w:rPr>
          <w:lang w:eastAsia="en-US"/>
        </w:rPr>
      </w:pPr>
      <w:r w:rsidRPr="002542B9">
        <w:rPr>
          <w:lang w:eastAsia="en-US"/>
        </w:rPr>
        <w:t>- молока и молочной продукции на 10%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Объем отгруженной продукции животноводства в сельскохозяйственных организациях составил:</w:t>
      </w:r>
    </w:p>
    <w:p w:rsidR="003046FB" w:rsidRPr="002542B9" w:rsidRDefault="003046FB" w:rsidP="003046FB">
      <w:pPr>
        <w:ind w:firstLine="708"/>
        <w:jc w:val="both"/>
        <w:rPr>
          <w:lang w:eastAsia="en-US"/>
        </w:rPr>
      </w:pPr>
      <w:r w:rsidRPr="002542B9">
        <w:rPr>
          <w:lang w:eastAsia="en-US"/>
        </w:rPr>
        <w:t xml:space="preserve">– скота и птицы на убой 394,2 </w:t>
      </w:r>
      <w:proofErr w:type="spellStart"/>
      <w:r w:rsidRPr="002542B9">
        <w:rPr>
          <w:lang w:eastAsia="en-US"/>
        </w:rPr>
        <w:t>тн</w:t>
      </w:r>
      <w:proofErr w:type="spellEnd"/>
      <w:r w:rsidRPr="002542B9">
        <w:rPr>
          <w:lang w:eastAsia="en-US"/>
        </w:rPr>
        <w:t xml:space="preserve"> (рост к аналогичному периоду прошлого года составил 14,7 %),</w:t>
      </w:r>
    </w:p>
    <w:p w:rsidR="003046FB" w:rsidRPr="002542B9" w:rsidRDefault="003046FB" w:rsidP="003046FB">
      <w:pPr>
        <w:ind w:firstLine="708"/>
        <w:jc w:val="both"/>
        <w:rPr>
          <w:lang w:eastAsia="en-US"/>
        </w:rPr>
      </w:pPr>
      <w:r w:rsidRPr="002542B9">
        <w:rPr>
          <w:lang w:eastAsia="en-US"/>
        </w:rPr>
        <w:t>– молока и молочных продуктов 9</w:t>
      </w:r>
      <w:r w:rsidR="002F385A">
        <w:rPr>
          <w:lang w:eastAsia="en-US"/>
        </w:rPr>
        <w:t xml:space="preserve"> </w:t>
      </w:r>
      <w:r w:rsidRPr="002542B9">
        <w:rPr>
          <w:lang w:eastAsia="en-US"/>
        </w:rPr>
        <w:t xml:space="preserve">462,2 </w:t>
      </w:r>
      <w:proofErr w:type="spellStart"/>
      <w:r w:rsidRPr="002542B9">
        <w:rPr>
          <w:lang w:eastAsia="en-US"/>
        </w:rPr>
        <w:t>тн</w:t>
      </w:r>
      <w:proofErr w:type="spellEnd"/>
      <w:r w:rsidRPr="002542B9">
        <w:rPr>
          <w:lang w:eastAsia="en-US"/>
        </w:rPr>
        <w:t>, что выше аналогичного периода прошлого года на 6,4 %.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Инвестиции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Объём инвестиций в основной капитал по итогам 2018 года составил 13 755,5 млн. рублей.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Основным источником финансирования инвестиций в основной капитал в 2018 году являлись привлечённые средства организаций (63,2%), доля собственных средств составила – 36,8%.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 xml:space="preserve">Объём бюджетных инвестиций в основной капитал в 2018 году составил 613,3 млн. рублей. Основную долю средств в общем объёме бюджетных инвестиций составили средства федерального бюджета – 84,1 %. 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 xml:space="preserve"> </w:t>
      </w: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Строительство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Объём работ, выполненных собственными силами по виду деятельности «Строительство» по итогам  2018 года составил 4 568,2 млн. рублей, что составляет 16,2 % к аналогичному периоду 2017 года.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lastRenderedPageBreak/>
        <w:tab/>
      </w:r>
    </w:p>
    <w:p w:rsidR="003046FB" w:rsidRPr="002542B9" w:rsidRDefault="003046FB" w:rsidP="003046FB">
      <w:pPr>
        <w:numPr>
          <w:ilvl w:val="0"/>
          <w:numId w:val="3"/>
        </w:numPr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Жилищное строительство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В 2018 году за счёт всех источников финансирования введено 17 819 кв. метров общей площади жилья.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</w:r>
      <w:r w:rsidRPr="002542B9">
        <w:rPr>
          <w:lang w:eastAsia="en-US"/>
        </w:rPr>
        <w:tab/>
      </w:r>
      <w:r w:rsidRPr="002542B9">
        <w:rPr>
          <w:lang w:eastAsia="en-US"/>
        </w:rPr>
        <w:tab/>
      </w:r>
    </w:p>
    <w:p w:rsidR="003046FB" w:rsidRPr="002542B9" w:rsidRDefault="003046FB" w:rsidP="003046FB">
      <w:pPr>
        <w:numPr>
          <w:ilvl w:val="0"/>
          <w:numId w:val="3"/>
        </w:numPr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Сведения об исполнении бюджета за 2018 год: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общий объем доходов в сумме 2 268 009 219,22 руб., из них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собственные доходы составляют 658 679 733,74руб.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 xml:space="preserve"> -безвозмездные поступления всего: 1 611 433 639,45 руб., и них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безвозмездные поступления от других бюджетов бюджетной системы Российской Федерации  1 609 329 485,48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Общий объем расходов в сумме 2 193 801 197,35 руб., из них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за счет собственных средств 997 038,0 тыс.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за счет безвозмездных поступлений от других бюджетов бюджетной системы Российской Федерации 1 196 763,2 тыс.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Профицит бюджета составляет 74 208 021,87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Налоговые доходы 595 650 057,99 руб., из них: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Налог на прибыль организаций 0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Налог на доходы физических лиц  453 755 350,95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Акцизы 3 394 003,08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Налоги на совокупный доход  129 360 371,88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Земельный налог 0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Налог на добычу полезных ископаемых 0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Транспортный налог 0 руб.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Уровень жизни населения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 xml:space="preserve">Среднемесячная начисленная заработная плата по муниципальному образованию на 1 января 2019 года составила 58 869 рублей. 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 xml:space="preserve">На 01.01.2019г. на территории района отсутствуют организации, имеющие просроченную задолженность по выплате заработной платы. </w:t>
      </w:r>
      <w:r w:rsidRPr="002542B9">
        <w:rPr>
          <w:lang w:eastAsia="en-US"/>
        </w:rPr>
        <w:tab/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lang w:eastAsia="en-US"/>
        </w:rPr>
      </w:pPr>
      <w:r w:rsidRPr="002542B9">
        <w:rPr>
          <w:b/>
          <w:lang w:eastAsia="en-US"/>
        </w:rPr>
        <w:t>Потребительский рынок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 xml:space="preserve">По состоянию на 01.01.2019 на территории муниципального района функционирует 184 стационарных торговых объектов (на 01.01.2018 – 179, рост на 2,8 %). 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 xml:space="preserve">Обеспеченность населения площадью торговых объектов составляет 464,1 кв. м на 1000 человек, что превышает норматив на 5 % . 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На территории района расположены 50 нестационарных торговых объектов (18 павильона, 29 киоск, 3 автолавки).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 xml:space="preserve">В целом ситуацию на потребительском рынке района можно охарактеризовать как стабильную. Дефицит товаров в магазинах района не зафиксирован. Товарная насыщенность потребительского рынка носит устойчивый характер. Ажиотажный спрос отсутствует. Рост цен на товары и услуги не превышает </w:t>
      </w:r>
      <w:proofErr w:type="spellStart"/>
      <w:r w:rsidRPr="002542B9">
        <w:rPr>
          <w:lang w:eastAsia="en-US"/>
        </w:rPr>
        <w:t>среднеобластные</w:t>
      </w:r>
      <w:proofErr w:type="spellEnd"/>
      <w:r w:rsidRPr="002542B9">
        <w:rPr>
          <w:lang w:eastAsia="en-US"/>
        </w:rPr>
        <w:t xml:space="preserve"> показатели. 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 xml:space="preserve">На территории района функционирует 12 аптек, 6 аптечных киосков (пунктов). </w:t>
      </w:r>
      <w:r w:rsidRPr="002542B9">
        <w:rPr>
          <w:lang w:eastAsia="en-US"/>
        </w:rPr>
        <w:tab/>
        <w:t>Мониторинг цен на лекарственные средства не осуществляется.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На территории муниципального образования расположены: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– 61 объектов общественного питания, в том числе 27 столовых учебных заведений, организаций, промышленных предприятий;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– 13 отделений Почты России (обслуживаются 19 сельских населенных пунктов);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– 7 отделений ОАО «Сбербанка России»;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– отделение ОАО «</w:t>
      </w:r>
      <w:proofErr w:type="spellStart"/>
      <w:r w:rsidRPr="002542B9">
        <w:rPr>
          <w:lang w:eastAsia="en-US"/>
        </w:rPr>
        <w:t>Россельхозбанк</w:t>
      </w:r>
      <w:proofErr w:type="spellEnd"/>
      <w:r w:rsidRPr="002542B9">
        <w:rPr>
          <w:lang w:eastAsia="en-US"/>
        </w:rPr>
        <w:t>».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lang w:eastAsia="en-US"/>
        </w:rPr>
        <w:tab/>
        <w:t>Основным оператором проводной связи является Мурманский филиал ОАО «Ростелеком». Телефонизировано 20 сельских населенных пунктов.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Демография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На начало 2019 года на территории проживает 40</w:t>
      </w:r>
      <w:r w:rsidR="002F385A">
        <w:rPr>
          <w:lang w:eastAsia="en-US"/>
        </w:rPr>
        <w:t xml:space="preserve"> </w:t>
      </w:r>
      <w:r w:rsidRPr="002542B9">
        <w:rPr>
          <w:lang w:eastAsia="en-US"/>
        </w:rPr>
        <w:t xml:space="preserve">515 человек. 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 xml:space="preserve">В 2018 году  родилось 337 человек, умерло – 480 человек. Естественная убыль составила – 143 человек. 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Основными причинами смертности являются: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 xml:space="preserve">– болезни системы кровообращения – 256 человек 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новообразования – 96 человек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внешние причины смерти – 68 человек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болезни органов пищеварения – 25 человек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болезни органов дыхания – 13 человек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– инфекционные и паразитарные болезни – 18 человек.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  <w:r w:rsidRPr="002542B9">
        <w:rPr>
          <w:lang w:eastAsia="en-US"/>
        </w:rPr>
        <w:t>В 2018 году на территорию Кольского района прибыло 2000 человека, выбыло – 2122 человека. Миграционное снижение составляет – 122 человек.</w:t>
      </w:r>
    </w:p>
    <w:p w:rsidR="003046FB" w:rsidRPr="002542B9" w:rsidRDefault="003046FB" w:rsidP="003046FB">
      <w:pPr>
        <w:ind w:firstLine="720"/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ind w:firstLine="720"/>
        <w:contextualSpacing/>
        <w:rPr>
          <w:b/>
          <w:lang w:eastAsia="en-US"/>
        </w:rPr>
      </w:pPr>
      <w:r w:rsidRPr="002542B9">
        <w:rPr>
          <w:b/>
          <w:lang w:eastAsia="en-US"/>
        </w:rPr>
        <w:t>Демография организаций, индивидуальных предпринимателей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  <w:r w:rsidRPr="002542B9">
        <w:rPr>
          <w:b/>
          <w:lang w:eastAsia="en-US"/>
        </w:rPr>
        <w:tab/>
      </w:r>
      <w:r w:rsidRPr="002542B9">
        <w:rPr>
          <w:lang w:eastAsia="en-US"/>
        </w:rPr>
        <w:t>В отчётном году осуществляли свою деятельность 1</w:t>
      </w:r>
      <w:r w:rsidR="002F385A">
        <w:rPr>
          <w:lang w:eastAsia="en-US"/>
        </w:rPr>
        <w:t xml:space="preserve"> </w:t>
      </w:r>
      <w:bookmarkStart w:id="0" w:name="_GoBack"/>
      <w:bookmarkEnd w:id="0"/>
      <w:r w:rsidRPr="002542B9">
        <w:rPr>
          <w:lang w:eastAsia="en-US"/>
        </w:rPr>
        <w:t xml:space="preserve">022 организации и 868 индивидуальных предпринимателей. Количество организаций по сравнению с 2017 годом сократилось на 4,6%, число индивидуальных предпринимателей увеличилось на 10,4%. </w:t>
      </w:r>
    </w:p>
    <w:p w:rsidR="003046FB" w:rsidRPr="002542B9" w:rsidRDefault="003046FB" w:rsidP="003046FB">
      <w:pPr>
        <w:ind w:firstLine="708"/>
        <w:jc w:val="both"/>
        <w:rPr>
          <w:lang w:eastAsia="en-US"/>
        </w:rPr>
      </w:pPr>
      <w:r w:rsidRPr="002542B9">
        <w:rPr>
          <w:lang w:eastAsia="en-US"/>
        </w:rPr>
        <w:t xml:space="preserve">По итогам работы за период январь-декабрь 2018 года получили прибыль 13 организаций на общую сумму 3223,9 млн. руб., 9 организаций получили убыток на общую сумму 397,5 млн. руб. </w:t>
      </w:r>
    </w:p>
    <w:p w:rsidR="003046FB" w:rsidRPr="002542B9" w:rsidRDefault="003046FB" w:rsidP="003046FB">
      <w:pPr>
        <w:ind w:firstLine="708"/>
        <w:jc w:val="both"/>
        <w:rPr>
          <w:lang w:eastAsia="en-US"/>
        </w:rPr>
      </w:pPr>
      <w:r w:rsidRPr="002542B9">
        <w:rPr>
          <w:lang w:eastAsia="en-US"/>
        </w:rPr>
        <w:t>На конец декабря 2018 года:</w:t>
      </w:r>
    </w:p>
    <w:p w:rsidR="003046FB" w:rsidRPr="002542B9" w:rsidRDefault="003046FB" w:rsidP="003046FB">
      <w:pPr>
        <w:ind w:firstLine="708"/>
        <w:jc w:val="both"/>
        <w:rPr>
          <w:lang w:eastAsia="en-US"/>
        </w:rPr>
      </w:pPr>
      <w:r w:rsidRPr="002542B9">
        <w:rPr>
          <w:lang w:eastAsia="en-US"/>
        </w:rPr>
        <w:t>– объем дебиторской задолженности организаций составил 1837,4 млн. руб., в том числе просроченная задолженность 417,9 млн. руб.,</w:t>
      </w:r>
    </w:p>
    <w:p w:rsidR="003046FB" w:rsidRPr="002542B9" w:rsidRDefault="003046FB" w:rsidP="003046FB">
      <w:pPr>
        <w:ind w:firstLine="708"/>
        <w:jc w:val="both"/>
        <w:rPr>
          <w:lang w:eastAsia="en-US"/>
        </w:rPr>
      </w:pPr>
      <w:r w:rsidRPr="002542B9">
        <w:rPr>
          <w:lang w:eastAsia="en-US"/>
        </w:rPr>
        <w:t>– объем кредиторской задолженности – 3465,9 млн. руб., в том числе просроченная задолженность 787,0 млн. руб.</w:t>
      </w:r>
    </w:p>
    <w:p w:rsidR="003046FB" w:rsidRPr="002542B9" w:rsidRDefault="003046FB" w:rsidP="003046FB">
      <w:pPr>
        <w:contextualSpacing/>
        <w:jc w:val="both"/>
        <w:rPr>
          <w:lang w:eastAsia="en-US"/>
        </w:rPr>
      </w:pPr>
    </w:p>
    <w:p w:rsidR="003046FB" w:rsidRPr="002542B9" w:rsidRDefault="003046FB" w:rsidP="003046FB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lang w:eastAsia="en-US"/>
        </w:rPr>
      </w:pPr>
      <w:r w:rsidRPr="002542B9">
        <w:rPr>
          <w:b/>
          <w:lang w:eastAsia="en-US"/>
        </w:rPr>
        <w:t>Труд и занятость</w:t>
      </w:r>
    </w:p>
    <w:p w:rsidR="003046FB" w:rsidRPr="002542B9" w:rsidRDefault="003046FB" w:rsidP="003046FB">
      <w:pPr>
        <w:jc w:val="both"/>
        <w:rPr>
          <w:color w:val="000000"/>
        </w:rPr>
      </w:pPr>
      <w:r w:rsidRPr="002542B9">
        <w:rPr>
          <w:color w:val="000000"/>
        </w:rPr>
        <w:tab/>
        <w:t>В 2018 году в центр занятости населения по Кольскому району за содействием в трудоустройстве обратилось 1324 человека, из них признано безработными 861, трудоустроено 544 человека или 41% от числа обратившихся.</w:t>
      </w:r>
    </w:p>
    <w:p w:rsidR="003046FB" w:rsidRPr="002542B9" w:rsidRDefault="003046FB" w:rsidP="003046FB">
      <w:pPr>
        <w:jc w:val="both"/>
        <w:rPr>
          <w:color w:val="000000"/>
        </w:rPr>
      </w:pPr>
      <w:r w:rsidRPr="002542B9">
        <w:rPr>
          <w:color w:val="000000"/>
        </w:rPr>
        <w:tab/>
        <w:t>По состоянию на 01.01.2019 на учёте в службе занятости в качестве безработных зарегистрировано 397 человек при наличии 1845 вакансий.</w:t>
      </w:r>
    </w:p>
    <w:p w:rsidR="003046FB" w:rsidRPr="002542B9" w:rsidRDefault="003046FB" w:rsidP="003046FB">
      <w:pPr>
        <w:jc w:val="both"/>
        <w:rPr>
          <w:color w:val="000000"/>
        </w:rPr>
      </w:pPr>
      <w:r w:rsidRPr="002542B9">
        <w:rPr>
          <w:color w:val="000000"/>
        </w:rPr>
        <w:tab/>
        <w:t>Уровень регистрируемой безработицы составил 1,4%, при областном показателе 1,6%.</w:t>
      </w:r>
    </w:p>
    <w:p w:rsidR="00965F1C" w:rsidRDefault="00965F1C"/>
    <w:sectPr w:rsidR="0096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6B8"/>
    <w:multiLevelType w:val="hybridMultilevel"/>
    <w:tmpl w:val="4E883928"/>
    <w:lvl w:ilvl="0" w:tplc="36F6C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4F"/>
    <w:multiLevelType w:val="multilevel"/>
    <w:tmpl w:val="E3306B50"/>
    <w:lvl w:ilvl="0">
      <w:start w:val="1"/>
      <w:numFmt w:val="decimal"/>
      <w:pStyle w:val="7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FB"/>
    <w:rsid w:val="002F385A"/>
    <w:rsid w:val="003046FB"/>
    <w:rsid w:val="00354AEF"/>
    <w:rsid w:val="0096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B"/>
    <w:rPr>
      <w:sz w:val="24"/>
      <w:szCs w:val="24"/>
      <w:lang w:eastAsia="ru-RU"/>
    </w:rPr>
  </w:style>
  <w:style w:type="paragraph" w:styleId="1">
    <w:name w:val="heading 1"/>
    <w:aliases w:val="Знак22,Заголовок 1 Знак Знак,Заголовок 1 Знак Знак Знак,Head 1 Знак"/>
    <w:basedOn w:val="a"/>
    <w:next w:val="a"/>
    <w:link w:val="10"/>
    <w:uiPriority w:val="9"/>
    <w:qFormat/>
    <w:rsid w:val="00354AEF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aliases w:val="Заголовок 2С,Заголовок 2 Знак Знак"/>
    <w:basedOn w:val="a"/>
    <w:next w:val="a"/>
    <w:link w:val="21"/>
    <w:uiPriority w:val="9"/>
    <w:qFormat/>
    <w:rsid w:val="00354A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"/>
    <w:qFormat/>
    <w:rsid w:val="00354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next w:val="a"/>
    <w:link w:val="40"/>
    <w:uiPriority w:val="9"/>
    <w:qFormat/>
    <w:rsid w:val="00354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оловок 4_1,Знак18"/>
    <w:basedOn w:val="a"/>
    <w:next w:val="a"/>
    <w:link w:val="50"/>
    <w:uiPriority w:val="9"/>
    <w:qFormat/>
    <w:rsid w:val="00354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"/>
    <w:qFormat/>
    <w:rsid w:val="00354AEF"/>
    <w:pPr>
      <w:keepNext/>
      <w:spacing w:before="240" w:after="120" w:line="360" w:lineRule="auto"/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0">
    <w:name w:val="heading 7"/>
    <w:aliases w:val="Знак16"/>
    <w:basedOn w:val="a"/>
    <w:next w:val="a"/>
    <w:link w:val="71"/>
    <w:uiPriority w:val="9"/>
    <w:qFormat/>
    <w:rsid w:val="00354AEF"/>
    <w:pPr>
      <w:spacing w:line="480" w:lineRule="auto"/>
      <w:outlineLvl w:val="6"/>
    </w:pPr>
    <w:rPr>
      <w:rFonts w:ascii="Calibri" w:hAnsi="Calibri"/>
    </w:rPr>
  </w:style>
  <w:style w:type="paragraph" w:styleId="8">
    <w:name w:val="heading 8"/>
    <w:aliases w:val="Знак15"/>
    <w:basedOn w:val="a"/>
    <w:next w:val="a"/>
    <w:link w:val="80"/>
    <w:uiPriority w:val="9"/>
    <w:qFormat/>
    <w:rsid w:val="00354AEF"/>
    <w:pPr>
      <w:keepNext/>
      <w:ind w:firstLine="567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aliases w:val="Знак14"/>
    <w:basedOn w:val="a"/>
    <w:next w:val="a"/>
    <w:link w:val="90"/>
    <w:uiPriority w:val="9"/>
    <w:qFormat/>
    <w:rsid w:val="00354AEF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1"/>
    <w:link w:val="72"/>
    <w:qFormat/>
    <w:rsid w:val="00354AEF"/>
    <w:pPr>
      <w:numPr>
        <w:numId w:val="2"/>
      </w:numPr>
      <w:spacing w:before="0" w:after="0"/>
      <w:jc w:val="center"/>
    </w:pPr>
    <w:rPr>
      <w:rFonts w:eastAsia="Times New Roman"/>
      <w:kern w:val="1"/>
      <w:sz w:val="28"/>
      <w:szCs w:val="28"/>
    </w:rPr>
  </w:style>
  <w:style w:type="character" w:customStyle="1" w:styleId="72">
    <w:name w:val="Стиль7 Знак"/>
    <w:link w:val="7"/>
    <w:rsid w:val="00354AEF"/>
    <w:rPr>
      <w:rFonts w:ascii="Cambria" w:hAnsi="Cambri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aliases w:val="Знак22 Знак,Заголовок 1 Знак Знак Знак1,Заголовок 1 Знак Знак Знак Знак,Head 1 Знак Знак"/>
    <w:link w:val="1"/>
    <w:uiPriority w:val="9"/>
    <w:rsid w:val="00354AEF"/>
    <w:rPr>
      <w:rFonts w:ascii="Cambria" w:eastAsiaTheme="majorEastAs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semiHidden/>
    <w:rsid w:val="00354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2 Знак1"/>
    <w:aliases w:val="Заголовок 2С Знак,Заголовок 2 Знак Знак Знак"/>
    <w:link w:val="2"/>
    <w:uiPriority w:val="9"/>
    <w:rsid w:val="00354AE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нак20 Знак"/>
    <w:link w:val="3"/>
    <w:uiPriority w:val="9"/>
    <w:rsid w:val="00354AE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Знак19 Знак"/>
    <w:link w:val="4"/>
    <w:uiPriority w:val="9"/>
    <w:rsid w:val="00354AEF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Заголовок 4_1 Знак,Знак18 Знак"/>
    <w:link w:val="5"/>
    <w:uiPriority w:val="9"/>
    <w:rsid w:val="00354AEF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aliases w:val="Знак17 Знак"/>
    <w:link w:val="6"/>
    <w:uiPriority w:val="9"/>
    <w:rsid w:val="00354AEF"/>
    <w:rPr>
      <w:rFonts w:ascii="Calibri" w:hAnsi="Calibri"/>
      <w:b/>
      <w:bCs/>
      <w:lang w:eastAsia="ar-SA"/>
    </w:rPr>
  </w:style>
  <w:style w:type="character" w:customStyle="1" w:styleId="71">
    <w:name w:val="Заголовок 7 Знак"/>
    <w:aliases w:val="Знак16 Знак"/>
    <w:link w:val="70"/>
    <w:uiPriority w:val="9"/>
    <w:rsid w:val="00354AEF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aliases w:val="Знак15 Знак"/>
    <w:link w:val="8"/>
    <w:uiPriority w:val="9"/>
    <w:rsid w:val="00354AEF"/>
    <w:rPr>
      <w:rFonts w:ascii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нак14 Знак"/>
    <w:link w:val="9"/>
    <w:uiPriority w:val="9"/>
    <w:rsid w:val="00354AEF"/>
    <w:rPr>
      <w:rFonts w:ascii="Cambria" w:hAnsi="Cambria"/>
      <w:lang w:eastAsia="ar-SA"/>
    </w:rPr>
  </w:style>
  <w:style w:type="paragraph" w:styleId="11">
    <w:name w:val="toc 1"/>
    <w:basedOn w:val="a"/>
    <w:next w:val="a"/>
    <w:uiPriority w:val="39"/>
    <w:qFormat/>
    <w:rsid w:val="00354AEF"/>
    <w:pPr>
      <w:tabs>
        <w:tab w:val="right" w:leader="underscore" w:pos="10195"/>
      </w:tabs>
      <w:spacing w:before="120"/>
    </w:pPr>
    <w:rPr>
      <w:bCs/>
      <w:i/>
      <w:iCs/>
    </w:rPr>
  </w:style>
  <w:style w:type="paragraph" w:styleId="22">
    <w:name w:val="toc 2"/>
    <w:basedOn w:val="a"/>
    <w:next w:val="a"/>
    <w:uiPriority w:val="39"/>
    <w:qFormat/>
    <w:rsid w:val="00354AEF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39"/>
    <w:qFormat/>
    <w:rsid w:val="00354AEF"/>
    <w:pPr>
      <w:ind w:left="480"/>
    </w:pPr>
    <w:rPr>
      <w:sz w:val="20"/>
      <w:szCs w:val="20"/>
    </w:rPr>
  </w:style>
  <w:style w:type="paragraph" w:styleId="a3">
    <w:name w:val="caption"/>
    <w:aliases w:val="WB Caption"/>
    <w:basedOn w:val="a"/>
    <w:next w:val="a"/>
    <w:uiPriority w:val="99"/>
    <w:qFormat/>
    <w:rsid w:val="00354AEF"/>
    <w:rPr>
      <w:b/>
      <w:bCs/>
      <w:sz w:val="20"/>
      <w:szCs w:val="20"/>
    </w:rPr>
  </w:style>
  <w:style w:type="paragraph" w:styleId="a4">
    <w:name w:val="Title"/>
    <w:basedOn w:val="a"/>
    <w:next w:val="a"/>
    <w:link w:val="12"/>
    <w:uiPriority w:val="10"/>
    <w:qFormat/>
    <w:rsid w:val="00354AEF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354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uiPriority w:val="10"/>
    <w:rsid w:val="00354A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Subtitle"/>
    <w:aliases w:val="Знак6"/>
    <w:basedOn w:val="a"/>
    <w:next w:val="a"/>
    <w:link w:val="a7"/>
    <w:uiPriority w:val="11"/>
    <w:qFormat/>
    <w:rsid w:val="00354AEF"/>
    <w:pPr>
      <w:spacing w:after="60"/>
      <w:jc w:val="center"/>
    </w:pPr>
    <w:rPr>
      <w:rFonts w:ascii="Cambria" w:hAnsi="Cambria"/>
    </w:rPr>
  </w:style>
  <w:style w:type="character" w:customStyle="1" w:styleId="a7">
    <w:name w:val="Подзаголовок Знак"/>
    <w:aliases w:val="Знак6 Знак"/>
    <w:link w:val="a6"/>
    <w:uiPriority w:val="11"/>
    <w:rsid w:val="00354AEF"/>
    <w:rPr>
      <w:rFonts w:ascii="Cambria" w:hAnsi="Cambria"/>
      <w:sz w:val="24"/>
      <w:szCs w:val="24"/>
      <w:lang w:eastAsia="ar-SA"/>
    </w:rPr>
  </w:style>
  <w:style w:type="character" w:styleId="a8">
    <w:name w:val="Strong"/>
    <w:uiPriority w:val="22"/>
    <w:qFormat/>
    <w:rsid w:val="00354AEF"/>
    <w:rPr>
      <w:rFonts w:cs="Times New Roman"/>
      <w:b/>
    </w:rPr>
  </w:style>
  <w:style w:type="character" w:styleId="a9">
    <w:name w:val="Emphasis"/>
    <w:uiPriority w:val="99"/>
    <w:qFormat/>
    <w:rsid w:val="00354AEF"/>
    <w:rPr>
      <w:rFonts w:cs="Times New Roman"/>
      <w:i/>
    </w:rPr>
  </w:style>
  <w:style w:type="paragraph" w:styleId="aa">
    <w:name w:val="No Spacing"/>
    <w:link w:val="ab"/>
    <w:uiPriority w:val="1"/>
    <w:qFormat/>
    <w:rsid w:val="00354AE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354AEF"/>
    <w:rPr>
      <w:rFonts w:ascii="Calibri" w:hAnsi="Calibri"/>
      <w:sz w:val="22"/>
      <w:szCs w:val="22"/>
      <w:lang w:eastAsia="ar-SA"/>
    </w:rPr>
  </w:style>
  <w:style w:type="paragraph" w:styleId="ac">
    <w:name w:val="List Paragraph"/>
    <w:aliases w:val="Булит,Нумерация,Bullet List,FooterText,numbered,Paragraphe de liste1,lp1,Bullet 1,Use Case List Paragraph,ПАРАГРАФ,список 1,Подпись рисунка,ПКФ Список,Заголовок_3,Абзац списка5"/>
    <w:basedOn w:val="a"/>
    <w:uiPriority w:val="99"/>
    <w:qFormat/>
    <w:rsid w:val="00354AEF"/>
    <w:pPr>
      <w:ind w:left="720"/>
    </w:pPr>
  </w:style>
  <w:style w:type="character" w:styleId="ad">
    <w:name w:val="Subtle Emphasis"/>
    <w:uiPriority w:val="99"/>
    <w:qFormat/>
    <w:rsid w:val="00354AEF"/>
    <w:rPr>
      <w:i/>
      <w:color w:val="808080"/>
    </w:rPr>
  </w:style>
  <w:style w:type="paragraph" w:styleId="ae">
    <w:name w:val="TOC Heading"/>
    <w:basedOn w:val="1"/>
    <w:next w:val="a"/>
    <w:uiPriority w:val="39"/>
    <w:qFormat/>
    <w:rsid w:val="00354AEF"/>
    <w:pPr>
      <w:keepLines/>
      <w:spacing w:before="480" w:after="0" w:line="276" w:lineRule="auto"/>
    </w:pPr>
    <w:rPr>
      <w:rFonts w:eastAsia="Times New Roman"/>
      <w:color w:val="365F91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B"/>
    <w:rPr>
      <w:sz w:val="24"/>
      <w:szCs w:val="24"/>
      <w:lang w:eastAsia="ru-RU"/>
    </w:rPr>
  </w:style>
  <w:style w:type="paragraph" w:styleId="1">
    <w:name w:val="heading 1"/>
    <w:aliases w:val="Знак22,Заголовок 1 Знак Знак,Заголовок 1 Знак Знак Знак,Head 1 Знак"/>
    <w:basedOn w:val="a"/>
    <w:next w:val="a"/>
    <w:link w:val="10"/>
    <w:uiPriority w:val="9"/>
    <w:qFormat/>
    <w:rsid w:val="00354AEF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aliases w:val="Заголовок 2С,Заголовок 2 Знак Знак"/>
    <w:basedOn w:val="a"/>
    <w:next w:val="a"/>
    <w:link w:val="21"/>
    <w:uiPriority w:val="9"/>
    <w:qFormat/>
    <w:rsid w:val="00354A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"/>
    <w:qFormat/>
    <w:rsid w:val="00354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next w:val="a"/>
    <w:link w:val="40"/>
    <w:uiPriority w:val="9"/>
    <w:qFormat/>
    <w:rsid w:val="00354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оловок 4_1,Знак18"/>
    <w:basedOn w:val="a"/>
    <w:next w:val="a"/>
    <w:link w:val="50"/>
    <w:uiPriority w:val="9"/>
    <w:qFormat/>
    <w:rsid w:val="00354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"/>
    <w:qFormat/>
    <w:rsid w:val="00354AEF"/>
    <w:pPr>
      <w:keepNext/>
      <w:spacing w:before="240" w:after="120" w:line="360" w:lineRule="auto"/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0">
    <w:name w:val="heading 7"/>
    <w:aliases w:val="Знак16"/>
    <w:basedOn w:val="a"/>
    <w:next w:val="a"/>
    <w:link w:val="71"/>
    <w:uiPriority w:val="9"/>
    <w:qFormat/>
    <w:rsid w:val="00354AEF"/>
    <w:pPr>
      <w:spacing w:line="480" w:lineRule="auto"/>
      <w:outlineLvl w:val="6"/>
    </w:pPr>
    <w:rPr>
      <w:rFonts w:ascii="Calibri" w:hAnsi="Calibri"/>
    </w:rPr>
  </w:style>
  <w:style w:type="paragraph" w:styleId="8">
    <w:name w:val="heading 8"/>
    <w:aliases w:val="Знак15"/>
    <w:basedOn w:val="a"/>
    <w:next w:val="a"/>
    <w:link w:val="80"/>
    <w:uiPriority w:val="9"/>
    <w:qFormat/>
    <w:rsid w:val="00354AEF"/>
    <w:pPr>
      <w:keepNext/>
      <w:ind w:firstLine="567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aliases w:val="Знак14"/>
    <w:basedOn w:val="a"/>
    <w:next w:val="a"/>
    <w:link w:val="90"/>
    <w:uiPriority w:val="9"/>
    <w:qFormat/>
    <w:rsid w:val="00354AEF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1"/>
    <w:link w:val="72"/>
    <w:qFormat/>
    <w:rsid w:val="00354AEF"/>
    <w:pPr>
      <w:numPr>
        <w:numId w:val="2"/>
      </w:numPr>
      <w:spacing w:before="0" w:after="0"/>
      <w:jc w:val="center"/>
    </w:pPr>
    <w:rPr>
      <w:rFonts w:eastAsia="Times New Roman"/>
      <w:kern w:val="1"/>
      <w:sz w:val="28"/>
      <w:szCs w:val="28"/>
    </w:rPr>
  </w:style>
  <w:style w:type="character" w:customStyle="1" w:styleId="72">
    <w:name w:val="Стиль7 Знак"/>
    <w:link w:val="7"/>
    <w:rsid w:val="00354AEF"/>
    <w:rPr>
      <w:rFonts w:ascii="Cambria" w:hAnsi="Cambri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aliases w:val="Знак22 Знак,Заголовок 1 Знак Знак Знак1,Заголовок 1 Знак Знак Знак Знак,Head 1 Знак Знак"/>
    <w:link w:val="1"/>
    <w:uiPriority w:val="9"/>
    <w:rsid w:val="00354AEF"/>
    <w:rPr>
      <w:rFonts w:ascii="Cambria" w:eastAsiaTheme="majorEastAs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semiHidden/>
    <w:rsid w:val="00354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2 Знак1"/>
    <w:aliases w:val="Заголовок 2С Знак,Заголовок 2 Знак Знак Знак"/>
    <w:link w:val="2"/>
    <w:uiPriority w:val="9"/>
    <w:rsid w:val="00354AE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нак20 Знак"/>
    <w:link w:val="3"/>
    <w:uiPriority w:val="9"/>
    <w:rsid w:val="00354AE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Знак19 Знак"/>
    <w:link w:val="4"/>
    <w:uiPriority w:val="9"/>
    <w:rsid w:val="00354AEF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Заголовок 4_1 Знак,Знак18 Знак"/>
    <w:link w:val="5"/>
    <w:uiPriority w:val="9"/>
    <w:rsid w:val="00354AEF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aliases w:val="Знак17 Знак"/>
    <w:link w:val="6"/>
    <w:uiPriority w:val="9"/>
    <w:rsid w:val="00354AEF"/>
    <w:rPr>
      <w:rFonts w:ascii="Calibri" w:hAnsi="Calibri"/>
      <w:b/>
      <w:bCs/>
      <w:lang w:eastAsia="ar-SA"/>
    </w:rPr>
  </w:style>
  <w:style w:type="character" w:customStyle="1" w:styleId="71">
    <w:name w:val="Заголовок 7 Знак"/>
    <w:aliases w:val="Знак16 Знак"/>
    <w:link w:val="70"/>
    <w:uiPriority w:val="9"/>
    <w:rsid w:val="00354AEF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aliases w:val="Знак15 Знак"/>
    <w:link w:val="8"/>
    <w:uiPriority w:val="9"/>
    <w:rsid w:val="00354AEF"/>
    <w:rPr>
      <w:rFonts w:ascii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нак14 Знак"/>
    <w:link w:val="9"/>
    <w:uiPriority w:val="9"/>
    <w:rsid w:val="00354AEF"/>
    <w:rPr>
      <w:rFonts w:ascii="Cambria" w:hAnsi="Cambria"/>
      <w:lang w:eastAsia="ar-SA"/>
    </w:rPr>
  </w:style>
  <w:style w:type="paragraph" w:styleId="11">
    <w:name w:val="toc 1"/>
    <w:basedOn w:val="a"/>
    <w:next w:val="a"/>
    <w:uiPriority w:val="39"/>
    <w:qFormat/>
    <w:rsid w:val="00354AEF"/>
    <w:pPr>
      <w:tabs>
        <w:tab w:val="right" w:leader="underscore" w:pos="10195"/>
      </w:tabs>
      <w:spacing w:before="120"/>
    </w:pPr>
    <w:rPr>
      <w:bCs/>
      <w:i/>
      <w:iCs/>
    </w:rPr>
  </w:style>
  <w:style w:type="paragraph" w:styleId="22">
    <w:name w:val="toc 2"/>
    <w:basedOn w:val="a"/>
    <w:next w:val="a"/>
    <w:uiPriority w:val="39"/>
    <w:qFormat/>
    <w:rsid w:val="00354AEF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39"/>
    <w:qFormat/>
    <w:rsid w:val="00354AEF"/>
    <w:pPr>
      <w:ind w:left="480"/>
    </w:pPr>
    <w:rPr>
      <w:sz w:val="20"/>
      <w:szCs w:val="20"/>
    </w:rPr>
  </w:style>
  <w:style w:type="paragraph" w:styleId="a3">
    <w:name w:val="caption"/>
    <w:aliases w:val="WB Caption"/>
    <w:basedOn w:val="a"/>
    <w:next w:val="a"/>
    <w:uiPriority w:val="99"/>
    <w:qFormat/>
    <w:rsid w:val="00354AEF"/>
    <w:rPr>
      <w:b/>
      <w:bCs/>
      <w:sz w:val="20"/>
      <w:szCs w:val="20"/>
    </w:rPr>
  </w:style>
  <w:style w:type="paragraph" w:styleId="a4">
    <w:name w:val="Title"/>
    <w:basedOn w:val="a"/>
    <w:next w:val="a"/>
    <w:link w:val="12"/>
    <w:uiPriority w:val="10"/>
    <w:qFormat/>
    <w:rsid w:val="00354AEF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354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uiPriority w:val="10"/>
    <w:rsid w:val="00354A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Subtitle"/>
    <w:aliases w:val="Знак6"/>
    <w:basedOn w:val="a"/>
    <w:next w:val="a"/>
    <w:link w:val="a7"/>
    <w:uiPriority w:val="11"/>
    <w:qFormat/>
    <w:rsid w:val="00354AEF"/>
    <w:pPr>
      <w:spacing w:after="60"/>
      <w:jc w:val="center"/>
    </w:pPr>
    <w:rPr>
      <w:rFonts w:ascii="Cambria" w:hAnsi="Cambria"/>
    </w:rPr>
  </w:style>
  <w:style w:type="character" w:customStyle="1" w:styleId="a7">
    <w:name w:val="Подзаголовок Знак"/>
    <w:aliases w:val="Знак6 Знак"/>
    <w:link w:val="a6"/>
    <w:uiPriority w:val="11"/>
    <w:rsid w:val="00354AEF"/>
    <w:rPr>
      <w:rFonts w:ascii="Cambria" w:hAnsi="Cambria"/>
      <w:sz w:val="24"/>
      <w:szCs w:val="24"/>
      <w:lang w:eastAsia="ar-SA"/>
    </w:rPr>
  </w:style>
  <w:style w:type="character" w:styleId="a8">
    <w:name w:val="Strong"/>
    <w:uiPriority w:val="22"/>
    <w:qFormat/>
    <w:rsid w:val="00354AEF"/>
    <w:rPr>
      <w:rFonts w:cs="Times New Roman"/>
      <w:b/>
    </w:rPr>
  </w:style>
  <w:style w:type="character" w:styleId="a9">
    <w:name w:val="Emphasis"/>
    <w:uiPriority w:val="99"/>
    <w:qFormat/>
    <w:rsid w:val="00354AEF"/>
    <w:rPr>
      <w:rFonts w:cs="Times New Roman"/>
      <w:i/>
    </w:rPr>
  </w:style>
  <w:style w:type="paragraph" w:styleId="aa">
    <w:name w:val="No Spacing"/>
    <w:link w:val="ab"/>
    <w:uiPriority w:val="1"/>
    <w:qFormat/>
    <w:rsid w:val="00354AE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354AEF"/>
    <w:rPr>
      <w:rFonts w:ascii="Calibri" w:hAnsi="Calibri"/>
      <w:sz w:val="22"/>
      <w:szCs w:val="22"/>
      <w:lang w:eastAsia="ar-SA"/>
    </w:rPr>
  </w:style>
  <w:style w:type="paragraph" w:styleId="ac">
    <w:name w:val="List Paragraph"/>
    <w:aliases w:val="Булит,Нумерация,Bullet List,FooterText,numbered,Paragraphe de liste1,lp1,Bullet 1,Use Case List Paragraph,ПАРАГРАФ,список 1,Подпись рисунка,ПКФ Список,Заголовок_3,Абзац списка5"/>
    <w:basedOn w:val="a"/>
    <w:uiPriority w:val="99"/>
    <w:qFormat/>
    <w:rsid w:val="00354AEF"/>
    <w:pPr>
      <w:ind w:left="720"/>
    </w:pPr>
  </w:style>
  <w:style w:type="character" w:styleId="ad">
    <w:name w:val="Subtle Emphasis"/>
    <w:uiPriority w:val="99"/>
    <w:qFormat/>
    <w:rsid w:val="00354AEF"/>
    <w:rPr>
      <w:i/>
      <w:color w:val="808080"/>
    </w:rPr>
  </w:style>
  <w:style w:type="paragraph" w:styleId="ae">
    <w:name w:val="TOC Heading"/>
    <w:basedOn w:val="1"/>
    <w:next w:val="a"/>
    <w:uiPriority w:val="39"/>
    <w:qFormat/>
    <w:rsid w:val="00354AEF"/>
    <w:pPr>
      <w:keepLines/>
      <w:spacing w:before="480" w:after="0" w:line="276" w:lineRule="auto"/>
    </w:pPr>
    <w:rPr>
      <w:rFonts w:eastAsia="Times New Roman"/>
      <w:color w:val="365F91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2019-12-03T13:10:00Z</dcterms:created>
  <dcterms:modified xsi:type="dcterms:W3CDTF">2019-12-03T13:13:00Z</dcterms:modified>
</cp:coreProperties>
</file>